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D1" w:rsidRDefault="00E75D98" w:rsidP="002448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28"/>
          <w:szCs w:val="28"/>
          <w:lang w:eastAsia="lt-LT"/>
        </w:rPr>
        <w:t>2017</w:t>
      </w:r>
      <w:r w:rsidR="00A72C64" w:rsidRPr="0035156D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28"/>
          <w:szCs w:val="28"/>
          <w:lang w:eastAsia="lt-LT"/>
        </w:rPr>
        <w:t xml:space="preserve"> M.  </w:t>
      </w:r>
      <w:r w:rsidR="0029258C" w:rsidRPr="0035156D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28"/>
          <w:szCs w:val="28"/>
          <w:lang w:eastAsia="lt-LT"/>
        </w:rPr>
        <w:t>VARTOTOJŲ APKLAUSA</w:t>
      </w:r>
    </w:p>
    <w:p w:rsidR="006A1D01" w:rsidRPr="006A1D01" w:rsidRDefault="006A1D01" w:rsidP="002448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t-LT"/>
        </w:rPr>
      </w:pPr>
      <w:r w:rsidRPr="006A1D0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t-LT"/>
        </w:rPr>
        <w:t>2018-01-03</w:t>
      </w:r>
    </w:p>
    <w:p w:rsidR="002448D1" w:rsidRPr="0035156D" w:rsidRDefault="00F1603A" w:rsidP="002448D1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lt-LT"/>
        </w:rPr>
      </w:pPr>
      <w:r w:rsidRPr="0035156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lt-LT"/>
        </w:rPr>
        <w:t>Apklausos analizė</w:t>
      </w:r>
    </w:p>
    <w:p w:rsidR="00A974DE" w:rsidRPr="00A974DE" w:rsidRDefault="00E75D98" w:rsidP="00DF23E8">
      <w:pPr>
        <w:pStyle w:val="prastasiniatinklio"/>
        <w:jc w:val="both"/>
        <w:rPr>
          <w:color w:val="000000" w:themeColor="text1"/>
        </w:rPr>
      </w:pPr>
      <w:r w:rsidRPr="00CE62EF">
        <w:rPr>
          <w:color w:val="000000" w:themeColor="text1"/>
        </w:rPr>
        <w:t xml:space="preserve">UAB „Plungės vandenys“ kiekvienais metais vykdo abonentų ir vartotojų apklausą, kuria siekia sužinoti jų nuomonę apie teikiamų paslaugų ir aptarnavimo kokybę. Apklausoje dalyvaujantys respondentai atsako į pateiktus bendrovei aktualius anketos klausimus, ir pateikia bendrovei naudingų pasiūlymų bei pastabų dėl vykdomos veiklos. </w:t>
      </w:r>
      <w:r w:rsidR="00CE62EF" w:rsidRPr="00CE62EF">
        <w:rPr>
          <w:color w:val="000000" w:themeColor="text1"/>
        </w:rPr>
        <w:t xml:space="preserve">Vartotojų tyrimo duomenų analize, padarytos išvados leidžia bendrovei įvertinti organizacijos </w:t>
      </w:r>
      <w:r w:rsidR="00CE62EF">
        <w:rPr>
          <w:color w:val="000000" w:themeColor="text1"/>
        </w:rPr>
        <w:t>veiklą</w:t>
      </w:r>
      <w:r w:rsidR="00CE62EF" w:rsidRPr="00CE62EF">
        <w:rPr>
          <w:color w:val="000000" w:themeColor="text1"/>
        </w:rPr>
        <w:t xml:space="preserve"> bei sužinoti trūkumus.</w:t>
      </w:r>
      <w:r w:rsidR="00CE62EF">
        <w:rPr>
          <w:color w:val="000000" w:themeColor="text1"/>
        </w:rPr>
        <w:t xml:space="preserve"> </w:t>
      </w:r>
      <w:r w:rsidR="00CE62EF" w:rsidRPr="00CE62EF">
        <w:rPr>
          <w:color w:val="000000" w:themeColor="text1"/>
        </w:rPr>
        <w:t>Gauti tyrimo duomenys padeda geriau pažinti vartotojų poreikius, sužinoti pr</w:t>
      </w:r>
      <w:r w:rsidR="00CE62EF">
        <w:rPr>
          <w:color w:val="000000" w:themeColor="text1"/>
        </w:rPr>
        <w:t>oblemas, su kuriomis jie susiję ir spręsti jas.</w:t>
      </w:r>
      <w:r w:rsidR="00A974DE" w:rsidRPr="00A974DE">
        <w:rPr>
          <w:color w:val="000000" w:themeColor="text1"/>
        </w:rPr>
        <w:t xml:space="preserve"> Atsižvelgdami į pernai apklaustų vartotojų  </w:t>
      </w:r>
      <w:r w:rsidR="00A974DE">
        <w:rPr>
          <w:color w:val="000000" w:themeColor="text1"/>
        </w:rPr>
        <w:t>pastabas</w:t>
      </w:r>
      <w:r w:rsidR="00A974DE" w:rsidRPr="00A974DE">
        <w:rPr>
          <w:color w:val="000000" w:themeColor="text1"/>
        </w:rPr>
        <w:t xml:space="preserve"> 2017m. buvo sukurta savitarnos svetainė, kurioje prisijungę prie savo paskyros gali deklaruoti skaitiklių rodmenis ir rasti informaciją, susijusią su vandens suvartojimu bei apmokėjimu už suteiktas paslaugas, gauti elektronines sąskaitas.</w:t>
      </w:r>
    </w:p>
    <w:p w:rsidR="009C7BFF" w:rsidRPr="00A974DE" w:rsidRDefault="0045751B" w:rsidP="00DF23E8">
      <w:pPr>
        <w:pStyle w:val="prastasiniatinklio"/>
        <w:jc w:val="both"/>
        <w:rPr>
          <w:color w:val="22292A"/>
        </w:rPr>
      </w:pPr>
      <w:r w:rsidRPr="00CE62EF">
        <w:rPr>
          <w:color w:val="000000" w:themeColor="text1"/>
        </w:rPr>
        <w:t>Tyrimui</w:t>
      </w:r>
      <w:r w:rsidR="002448D1" w:rsidRPr="00CE62EF">
        <w:rPr>
          <w:color w:val="000000" w:themeColor="text1"/>
        </w:rPr>
        <w:t xml:space="preserve"> buvo pasirinkta anketinė apklausa. </w:t>
      </w:r>
      <w:r w:rsidR="002448D1" w:rsidRPr="00F8612F">
        <w:rPr>
          <w:color w:val="000000" w:themeColor="text1"/>
        </w:rPr>
        <w:t>Parengtas klausimynas iš</w:t>
      </w:r>
      <w:r w:rsidR="009F6768" w:rsidRPr="00F8612F">
        <w:rPr>
          <w:color w:val="000000" w:themeColor="text1"/>
        </w:rPr>
        <w:t xml:space="preserve"> 15</w:t>
      </w:r>
      <w:r w:rsidR="002448D1" w:rsidRPr="00F8612F">
        <w:rPr>
          <w:color w:val="000000" w:themeColor="text1"/>
        </w:rPr>
        <w:t xml:space="preserve"> </w:t>
      </w:r>
      <w:r w:rsidR="004947FA" w:rsidRPr="00F8612F">
        <w:rPr>
          <w:color w:val="000000" w:themeColor="text1"/>
        </w:rPr>
        <w:t>bendrovei aktualių klausimų: apie</w:t>
      </w:r>
      <w:r w:rsidR="00FF6A61" w:rsidRPr="00F8612F">
        <w:rPr>
          <w:color w:val="000000" w:themeColor="text1"/>
        </w:rPr>
        <w:t xml:space="preserve"> </w:t>
      </w:r>
      <w:r w:rsidR="004947FA" w:rsidRPr="00F8612F">
        <w:rPr>
          <w:color w:val="000000" w:themeColor="text1"/>
        </w:rPr>
        <w:t>geriamojo vandens kokybę</w:t>
      </w:r>
      <w:r w:rsidR="00E535D4" w:rsidRPr="00F8612F">
        <w:rPr>
          <w:color w:val="000000" w:themeColor="text1"/>
        </w:rPr>
        <w:t>;</w:t>
      </w:r>
      <w:r w:rsidR="004947FA" w:rsidRPr="00F8612F">
        <w:rPr>
          <w:color w:val="000000" w:themeColor="text1"/>
        </w:rPr>
        <w:t xml:space="preserve"> vandens slėgį</w:t>
      </w:r>
      <w:r w:rsidR="00E535D4" w:rsidRPr="00F8612F">
        <w:rPr>
          <w:color w:val="000000" w:themeColor="text1"/>
        </w:rPr>
        <w:t>; nuotekų tvarkymo paslaugų kokybę; bendrovės teikiamų paslaugų kokybę; aptarnaujančio personalo bei darbuotojų  darbą.</w:t>
      </w:r>
      <w:r w:rsidR="00DF23E8">
        <w:rPr>
          <w:color w:val="000000" w:themeColor="text1"/>
        </w:rPr>
        <w:t xml:space="preserve"> </w:t>
      </w:r>
      <w:r w:rsidR="00FF6A61" w:rsidRPr="00F8612F">
        <w:rPr>
          <w:color w:val="000000" w:themeColor="text1"/>
        </w:rPr>
        <w:t xml:space="preserve">Apklausa buvo vykdoma </w:t>
      </w:r>
      <w:r w:rsidR="00E75D98">
        <w:rPr>
          <w:color w:val="000000" w:themeColor="text1"/>
        </w:rPr>
        <w:t>nuo 2017 m. spalio 1d. iki 2017</w:t>
      </w:r>
      <w:r w:rsidR="009F6768" w:rsidRPr="00F8612F">
        <w:rPr>
          <w:color w:val="000000" w:themeColor="text1"/>
        </w:rPr>
        <w:t xml:space="preserve"> m. gruodžio 30 d. </w:t>
      </w:r>
      <w:r w:rsidR="0029258C">
        <w:rPr>
          <w:color w:val="000000" w:themeColor="text1"/>
        </w:rPr>
        <w:t>internetu.</w:t>
      </w:r>
    </w:p>
    <w:p w:rsidR="0035156D" w:rsidRDefault="0035156D" w:rsidP="009C7BF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CE62EF" w:rsidRDefault="009C7BFF" w:rsidP="009C7BFF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9C7B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Vartotojų nuomo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nė apie vandens </w:t>
      </w:r>
      <w:r w:rsidR="00CE6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kokybę ir slėgį </w:t>
      </w:r>
    </w:p>
    <w:p w:rsidR="00193087" w:rsidRDefault="00193087" w:rsidP="009C7BFF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193087" w:rsidRDefault="00193087" w:rsidP="009C7BFF">
      <w:pPr>
        <w:spacing w:after="0" w:line="300" w:lineRule="atLeas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Apklausti</w:t>
      </w:r>
      <w:r w:rsidR="00CE6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respondent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ai vidutiniškai per mėnesį sunaudoja 5,5 m³ šalto vandens.</w:t>
      </w:r>
    </w:p>
    <w:p w:rsidR="0045751B" w:rsidRPr="00193087" w:rsidRDefault="009C7BFF" w:rsidP="009C7BFF">
      <w:pPr>
        <w:spacing w:after="0" w:line="300" w:lineRule="atLeast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Vartotojai pagal  pagrindinius vandens kokybės rodiklius: kvapą, skonį, spalvą, tinkamumą maistui įvertino vandens kokybę.</w:t>
      </w:r>
      <w:r w:rsid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Labai gerai įvertino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37.68</w:t>
      </w:r>
      <w:r w:rsidR="00B248B1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%</w:t>
      </w:r>
      <w:r w:rsid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respondentų; gerai –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49.28</w:t>
      </w:r>
      <w:r w:rsid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B248B1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%</w:t>
      </w:r>
      <w:r w:rsid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; blogai –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11.59</w:t>
      </w:r>
      <w:r w:rsidR="00B248B1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%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; labai blogai 1</w:t>
      </w:r>
      <w:r w:rsid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.45 </w:t>
      </w:r>
      <w:r w:rsidR="00B248B1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%</w:t>
      </w:r>
      <w:r w:rsidR="0050019D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 xml:space="preserve"> </w:t>
      </w:r>
      <w:r w:rsidR="0050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(žr.1 pav.)</w:t>
      </w:r>
      <w:r w:rsid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Dauguma vandens vartotojų, net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78.87</w:t>
      </w:r>
      <w:r w:rsid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B248B1" w:rsidRP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% geria vandenį iš čiaupo</w:t>
      </w:r>
      <w:r w:rsid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14.08</w:t>
      </w:r>
      <w:r w:rsidR="00B248B1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%</w:t>
      </w:r>
      <w:r w:rsid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-filtruoja vandenį,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0</w:t>
      </w:r>
      <w:r w:rsidR="00B248B1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%</w:t>
      </w:r>
      <w:r w:rsidR="005C1960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 xml:space="preserve"> </w:t>
      </w:r>
      <w:r w:rsidR="005C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– </w:t>
      </w:r>
      <w:r w:rsid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virintą,</w:t>
      </w:r>
      <w:r w:rsidR="00A00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7.04</w:t>
      </w:r>
      <w:r w:rsidR="00B248B1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%</w:t>
      </w:r>
      <w:r w:rsidR="005C1960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 xml:space="preserve"> </w:t>
      </w:r>
      <w:r w:rsidR="005C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– </w:t>
      </w:r>
      <w:r w:rsidR="00B248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perka parduotuvėje. Tai rodo, kad dauguma vartotojų patenkinti kokybišku geriamuoju vandeniu ir geria jį iš čiaupo.</w:t>
      </w:r>
      <w:r w:rsidR="00C57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(žr.3 pav.)</w:t>
      </w:r>
      <w:r w:rsidR="00A00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Vandens slėgis tenkina visada –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53.62</w:t>
      </w:r>
      <w:r w:rsidR="00A002E4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 xml:space="preserve">% </w:t>
      </w:r>
      <w:r w:rsidR="00A00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vartotojų , didžiąją metų dalį –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36.23</w:t>
      </w:r>
      <w:r w:rsidR="00A002E4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%</w:t>
      </w:r>
      <w:r w:rsidR="00A00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retai –</w:t>
      </w:r>
      <w:r w:rsidR="005C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4.35</w:t>
      </w:r>
      <w:r w:rsidR="00A002E4">
        <w:rPr>
          <w:rFonts w:ascii="Arial" w:eastAsia="Times New Roman" w:hAnsi="Arial" w:cs="Arial"/>
          <w:color w:val="000000" w:themeColor="text1"/>
          <w:sz w:val="24"/>
          <w:szCs w:val="24"/>
          <w:lang w:eastAsia="lt-LT"/>
        </w:rPr>
        <w:t>%</w:t>
      </w:r>
      <w:r w:rsidR="00A00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niekada</w:t>
      </w:r>
      <w:r w:rsidR="005C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A00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–</w:t>
      </w:r>
      <w:r w:rsidR="005C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5.8</w:t>
      </w:r>
      <w:r w:rsidR="00A002E4" w:rsidRPr="0050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%.</w:t>
      </w:r>
      <w:r w:rsidR="0050019D" w:rsidRPr="00500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(žr.2 pav.)</w:t>
      </w:r>
    </w:p>
    <w:p w:rsidR="00ED29C8" w:rsidRDefault="005C1960" w:rsidP="009C7BF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C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Geriamojo vandens tiekimo pertrūkių niekada nepatiria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60.87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% vartotojų,4-5 kartus per metus-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34.78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%</w:t>
      </w:r>
      <w:r w:rsidR="00DE2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C57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(žr.4 pav.)</w:t>
      </w:r>
    </w:p>
    <w:p w:rsidR="00CC58CC" w:rsidRPr="006A1D01" w:rsidRDefault="0050019D" w:rsidP="006A1D0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inline distT="0" distB="0" distL="0" distR="0">
            <wp:extent cx="3695700" cy="2676525"/>
            <wp:effectExtent l="0" t="0" r="0" b="952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1076325" y="5972175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2714625"/>
            <wp:effectExtent l="0" t="0" r="0" b="9525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br w:type="textWrapping" w:clear="all"/>
      </w:r>
      <w:r w:rsidRPr="0050019D">
        <w:rPr>
          <w:rFonts w:ascii="Times New Roman" w:eastAsia="Times New Roman" w:hAnsi="Times New Roman" w:cs="Times New Roman"/>
          <w:sz w:val="20"/>
          <w:szCs w:val="20"/>
          <w:lang w:eastAsia="lt-LT"/>
        </w:rPr>
        <w:t>1pav.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</w:t>
      </w:r>
      <w:r w:rsidRPr="0050019D">
        <w:rPr>
          <w:rFonts w:ascii="Times New Roman" w:eastAsia="Times New Roman" w:hAnsi="Times New Roman" w:cs="Times New Roman"/>
          <w:sz w:val="20"/>
          <w:szCs w:val="20"/>
          <w:lang w:eastAsia="lt-LT"/>
        </w:rPr>
        <w:t>2 pav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0019D" w:rsidRDefault="0050019D" w:rsidP="009C7BF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0019D" w:rsidRDefault="00D34EEF" w:rsidP="009C7BF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inline distT="0" distB="0" distL="0" distR="0">
            <wp:extent cx="2438400" cy="31718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inline distT="0" distB="0" distL="0" distR="0">
            <wp:extent cx="3514725" cy="3105150"/>
            <wp:effectExtent l="0" t="0" r="9525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BCD" w:rsidRDefault="00C57BCD" w:rsidP="00C57BCD">
      <w:pPr>
        <w:tabs>
          <w:tab w:val="left" w:pos="195"/>
        </w:tabs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t-LT"/>
        </w:rPr>
        <w:t>3 pav.                                                                    4 pav.</w:t>
      </w:r>
      <w:r w:rsidR="00CC5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br w:type="textWrapping" w:clear="all"/>
      </w:r>
    </w:p>
    <w:p w:rsidR="00DE2D66" w:rsidRDefault="005C1960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5C1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Nuotekų tvarkymo paslaugos kokybė</w:t>
      </w:r>
    </w:p>
    <w:p w:rsidR="005C1960" w:rsidRDefault="005C1960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C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Nuotekų tvarkymo paslaugų kokybę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547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vartotojai įvertino l.</w:t>
      </w:r>
      <w:r w:rsidR="002D2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547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gerai -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28.99</w:t>
      </w:r>
      <w:r w:rsidR="00547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%; gerai-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62.32</w:t>
      </w:r>
      <w:r w:rsidR="00547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%; nelabai gerai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7.25%; blogai- 1</w:t>
      </w:r>
      <w:r w:rsidR="005470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.45 %.</w:t>
      </w:r>
      <w:r w:rsidR="00FC3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(žr.5 pav.)</w:t>
      </w:r>
      <w:r w:rsidR="00DE2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Nuotekų tvarkymo ūkyje</w:t>
      </w:r>
      <w:r w:rsidR="0085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38</w:t>
      </w:r>
      <w:r w:rsidR="0085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% respondentų siūlo mažinti kvapą, </w:t>
      </w:r>
      <w:r w:rsidR="001930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30</w:t>
      </w:r>
      <w:r w:rsidR="0085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7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30</w:t>
      </w:r>
      <w:r w:rsidR="0085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% užtvindymo galimybes.</w:t>
      </w:r>
      <w:r w:rsidR="00DE2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Buto namo užtvindymo nuotekomis niekada nepatyrė-</w:t>
      </w:r>
      <w:r w:rsidR="0007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91.18</w:t>
      </w:r>
      <w:r w:rsidR="00DE2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%, retai -</w:t>
      </w:r>
      <w:r w:rsidR="0007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7.35</w:t>
      </w:r>
      <w:r w:rsidR="00DE2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%, kiekvienais metais -1.</w:t>
      </w:r>
      <w:r w:rsidR="0007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47</w:t>
      </w:r>
      <w:r w:rsidR="00DE2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% apklaustų vartotojų.</w:t>
      </w:r>
      <w:r w:rsidR="00FC3E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(žr.6 pav.)</w:t>
      </w:r>
    </w:p>
    <w:p w:rsidR="00DE2D66" w:rsidRDefault="00DE2D66" w:rsidP="009C7BF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C57BCD" w:rsidRDefault="00C57BCD" w:rsidP="009C7BF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inline distT="0" distB="0" distL="0" distR="0">
            <wp:extent cx="2609850" cy="3095625"/>
            <wp:effectExtent l="0" t="0" r="0" b="9525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C3EA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inline distT="0" distB="0" distL="0" distR="0">
            <wp:extent cx="3028950" cy="306705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3EA7" w:rsidRPr="00FC3EA7" w:rsidRDefault="00FC3EA7" w:rsidP="009C7BF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t-LT"/>
        </w:rPr>
      </w:pPr>
      <w:r w:rsidRPr="00FC3E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t-LT"/>
        </w:rPr>
        <w:t>5 pav.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t-LT"/>
        </w:rPr>
        <w:t xml:space="preserve">                                                     </w:t>
      </w:r>
      <w:r w:rsidR="00DF23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t-LT"/>
        </w:rPr>
        <w:t xml:space="preserve">                           6pav.</w:t>
      </w:r>
    </w:p>
    <w:p w:rsidR="006A1D01" w:rsidRDefault="006A1D01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6A1D01" w:rsidRDefault="006A1D01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6A1D01" w:rsidRDefault="006A1D01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DE2D66" w:rsidRDefault="00DE2D66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DE2D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lastRenderedPageBreak/>
        <w:t>Aptarnaujančio personalo bei darbuotojų darbas</w:t>
      </w:r>
    </w:p>
    <w:p w:rsidR="00DE2D66" w:rsidRDefault="00DE2D66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Vartotojai dažniausiai, d</w:t>
      </w:r>
      <w:r w:rsidR="00351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ėl jiems aktualios informacijos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į bendrovę kreipiasi telefonu -</w:t>
      </w:r>
      <w:r w:rsidR="0007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78.21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%,</w:t>
      </w:r>
    </w:p>
    <w:p w:rsidR="00A974DE" w:rsidRDefault="00DE2D66" w:rsidP="00A974D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į bendrovę atvyksta </w:t>
      </w:r>
      <w:r w:rsidR="0085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-</w:t>
      </w:r>
      <w:r w:rsidR="0007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14.1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%, raštu /el.paštu-</w:t>
      </w:r>
      <w:r w:rsidR="0007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7.69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%.</w:t>
      </w:r>
      <w:r w:rsidR="009E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0719DF" w:rsidRPr="00A974DE" w:rsidRDefault="00854DAC" w:rsidP="00A974D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Apibendrinant vartotojų pasiūlymus,</w:t>
      </w:r>
      <w:r w:rsidR="008A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pastabas</w:t>
      </w:r>
      <w:r w:rsidR="00A97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daugelis </w:t>
      </w:r>
      <w:r w:rsidR="00364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9E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pag</w:t>
      </w:r>
      <w:r w:rsidR="00CE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eidavo mažinti paslaugų kainą ir</w:t>
      </w:r>
      <w:r w:rsidR="0007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91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gerinti vandens kokybę.</w:t>
      </w:r>
      <w:r w:rsidR="00071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D91F4B" w:rsidRPr="00D91F4B" w:rsidRDefault="00457BF5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Apklaustieji vartotojai bendrovės darbuotojų</w:t>
      </w:r>
      <w:r w:rsidR="00D91F4B" w:rsidRPr="00D9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darbui nusiskundimų neturi ir, kad</w:t>
      </w:r>
      <w:r w:rsidR="00D91F4B" w:rsidRPr="00D9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yra pat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enkinti teikiamų paslaugų kokybę.</w:t>
      </w:r>
    </w:p>
    <w:p w:rsidR="00876EEE" w:rsidRDefault="00876EEE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35156D" w:rsidRDefault="0035156D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35156D" w:rsidRDefault="0035156D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35156D" w:rsidRPr="00D91F4B" w:rsidRDefault="0035156D" w:rsidP="0033540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ED29C8" w:rsidRPr="005C1960" w:rsidRDefault="00555E90" w:rsidP="009C7BF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2018</w:t>
      </w:r>
      <w:r w:rsidR="006A1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-01-03</w:t>
      </w:r>
    </w:p>
    <w:sectPr w:rsidR="00ED29C8" w:rsidRPr="005C19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7012"/>
    <w:multiLevelType w:val="multilevel"/>
    <w:tmpl w:val="3E8C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E4354"/>
    <w:multiLevelType w:val="multilevel"/>
    <w:tmpl w:val="3AB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D1"/>
    <w:rsid w:val="000124C1"/>
    <w:rsid w:val="00036B6D"/>
    <w:rsid w:val="0007161C"/>
    <w:rsid w:val="000719DF"/>
    <w:rsid w:val="00117758"/>
    <w:rsid w:val="00122ECB"/>
    <w:rsid w:val="00164172"/>
    <w:rsid w:val="001747D8"/>
    <w:rsid w:val="00193087"/>
    <w:rsid w:val="001C4890"/>
    <w:rsid w:val="002120AC"/>
    <w:rsid w:val="0022530D"/>
    <w:rsid w:val="002448D1"/>
    <w:rsid w:val="0029258C"/>
    <w:rsid w:val="002D22F3"/>
    <w:rsid w:val="0033540D"/>
    <w:rsid w:val="0035156D"/>
    <w:rsid w:val="00364EB4"/>
    <w:rsid w:val="00426A2C"/>
    <w:rsid w:val="0045751B"/>
    <w:rsid w:val="00457BF5"/>
    <w:rsid w:val="004947FA"/>
    <w:rsid w:val="0050019D"/>
    <w:rsid w:val="00547015"/>
    <w:rsid w:val="00555E90"/>
    <w:rsid w:val="0059253C"/>
    <w:rsid w:val="00595EFE"/>
    <w:rsid w:val="00596799"/>
    <w:rsid w:val="005C1960"/>
    <w:rsid w:val="006015BF"/>
    <w:rsid w:val="006A1D01"/>
    <w:rsid w:val="007544EA"/>
    <w:rsid w:val="007C02E7"/>
    <w:rsid w:val="007F60C3"/>
    <w:rsid w:val="00854DAC"/>
    <w:rsid w:val="00876EEE"/>
    <w:rsid w:val="0088526F"/>
    <w:rsid w:val="008A2E6A"/>
    <w:rsid w:val="008E2744"/>
    <w:rsid w:val="009C7BFF"/>
    <w:rsid w:val="009E6909"/>
    <w:rsid w:val="009F6768"/>
    <w:rsid w:val="00A002E4"/>
    <w:rsid w:val="00A63363"/>
    <w:rsid w:val="00A72C64"/>
    <w:rsid w:val="00A974DE"/>
    <w:rsid w:val="00AB76CF"/>
    <w:rsid w:val="00B17AFE"/>
    <w:rsid w:val="00B248B1"/>
    <w:rsid w:val="00B8610A"/>
    <w:rsid w:val="00B9774C"/>
    <w:rsid w:val="00C57BCD"/>
    <w:rsid w:val="00CC58CC"/>
    <w:rsid w:val="00CE15D4"/>
    <w:rsid w:val="00CE62EF"/>
    <w:rsid w:val="00D34EEF"/>
    <w:rsid w:val="00D91F4B"/>
    <w:rsid w:val="00DB3B30"/>
    <w:rsid w:val="00DC06C8"/>
    <w:rsid w:val="00DD18A2"/>
    <w:rsid w:val="00DE2D66"/>
    <w:rsid w:val="00DF23E8"/>
    <w:rsid w:val="00E03474"/>
    <w:rsid w:val="00E535D4"/>
    <w:rsid w:val="00E70087"/>
    <w:rsid w:val="00E7360B"/>
    <w:rsid w:val="00E75D98"/>
    <w:rsid w:val="00ED29C8"/>
    <w:rsid w:val="00F1603A"/>
    <w:rsid w:val="00F8612F"/>
    <w:rsid w:val="00FA48A6"/>
    <w:rsid w:val="00FC3EA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06EF-B9E8-40DD-B929-DEF47C67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156D"/>
    <w:rPr>
      <w:rFonts w:ascii="Segoe UI" w:hAnsi="Segoe UI" w:cs="Segoe UI"/>
      <w:sz w:val="18"/>
      <w:szCs w:val="18"/>
    </w:rPr>
  </w:style>
  <w:style w:type="paragraph" w:customStyle="1" w:styleId="pjustify">
    <w:name w:val="pjustify"/>
    <w:basedOn w:val="prastasis"/>
    <w:rsid w:val="00CE62EF"/>
    <w:pPr>
      <w:spacing w:before="120" w:after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07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2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1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3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7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1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1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57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5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1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5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0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Slėgis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53,62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36,23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651892740211561E-2"/>
                  <c:y val="0.142667451266100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Visada</c:v>
                </c:pt>
                <c:pt idx="1">
                  <c:v>Didžiąją metų dalį</c:v>
                </c:pt>
                <c:pt idx="2">
                  <c:v>Retai</c:v>
                </c:pt>
                <c:pt idx="3">
                  <c:v>Niekada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54.39</c:v>
                </c:pt>
                <c:pt idx="1">
                  <c:v>33.33</c:v>
                </c:pt>
                <c:pt idx="2">
                  <c:v>8.77</c:v>
                </c:pt>
                <c:pt idx="3">
                  <c:v>3.51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Kokybė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37,68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49,28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41034614262961E-2"/>
                  <c:y val="9.69504075148501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1,45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L.Gera</c:v>
                </c:pt>
                <c:pt idx="1">
                  <c:v>Gera</c:v>
                </c:pt>
                <c:pt idx="2">
                  <c:v>Bloga</c:v>
                </c:pt>
                <c:pt idx="3">
                  <c:v>L.Bloga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48.28</c:v>
                </c:pt>
                <c:pt idx="1">
                  <c:v>39.659999999999997</c:v>
                </c:pt>
                <c:pt idx="2">
                  <c:v>8.6199999999999992</c:v>
                </c:pt>
                <c:pt idx="3">
                  <c:v>3.45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Kokį vandenį geriate?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78,9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97727418219064"/>
                  <c:y val="9.08353477091959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7,04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Iš čiaupo</c:v>
                </c:pt>
                <c:pt idx="1">
                  <c:v>Filtruotą</c:v>
                </c:pt>
                <c:pt idx="2">
                  <c:v>Virintą</c:v>
                </c:pt>
                <c:pt idx="3">
                  <c:v>Perkame parduotuvėje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82.46</c:v>
                </c:pt>
                <c:pt idx="1">
                  <c:v>10.53</c:v>
                </c:pt>
                <c:pt idx="2">
                  <c:v>1.75</c:v>
                </c:pt>
                <c:pt idx="3">
                  <c:v>5.26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Iš čiaupo</c:v>
                </c:pt>
                <c:pt idx="1">
                  <c:v>Filtruotą</c:v>
                </c:pt>
                <c:pt idx="2">
                  <c:v>Virintą</c:v>
                </c:pt>
                <c:pt idx="3">
                  <c:v>Perkame parduotuvėje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Ar patiriate vandens tiekimo pertrūkių?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60,87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34,78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1,45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Niekada</c:v>
                </c:pt>
                <c:pt idx="1">
                  <c:v>4-5 kartus per metus</c:v>
                </c:pt>
                <c:pt idx="2">
                  <c:v>Kiekvieną mėnesį</c:v>
                </c:pt>
                <c:pt idx="3">
                  <c:v>Kiekvieną savaitę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53.45</c:v>
                </c:pt>
                <c:pt idx="1">
                  <c:v>36.21</c:v>
                </c:pt>
                <c:pt idx="2">
                  <c:v>10.34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Nuotekų tvarkymo paslaugų kokybė</a:t>
            </a:r>
          </a:p>
        </c:rich>
      </c:tx>
      <c:layout>
        <c:manualLayout>
          <c:xMode val="edge"/>
          <c:yMode val="edge"/>
          <c:x val="0.18194444444444444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PardavimaNuotekų tvarkymo paslaugų kokybė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28,99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62,32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49165660861736E-2"/>
                  <c:y val="0.1443908742176457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7,25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523114355231144"/>
                      <c:h val="6.648221280032304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8166369714734569E-2"/>
                  <c:y val="5.369755703613971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1,45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6204379562045"/>
                      <c:h val="5.4174520492630732E-2"/>
                    </c:manualLayout>
                  </c15:layout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L.gerai</c:v>
                </c:pt>
                <c:pt idx="1">
                  <c:v>Gerai</c:v>
                </c:pt>
                <c:pt idx="2">
                  <c:v>Nelabai gerai</c:v>
                </c:pt>
                <c:pt idx="3">
                  <c:v>Blogai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31.03</c:v>
                </c:pt>
                <c:pt idx="1">
                  <c:v>56.9</c:v>
                </c:pt>
                <c:pt idx="2">
                  <c:v>8.6199999999999992</c:v>
                </c:pt>
                <c:pt idx="3">
                  <c:v>3.45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Ar teko patirti namo/buto užtvindymą nuotekomis?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91,18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0670085547663898E-2"/>
                  <c:y val="0.119149244275499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7,35</a:t>
                    </a:r>
                  </a:p>
                </c:rich>
              </c:tx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31412103746398"/>
                      <c:h val="5.9373205308584073E-2"/>
                    </c:manualLayout>
                  </c15:layout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528890300816179E-2"/>
                  <c:y val="4.13266523502743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Niekada</c:v>
                </c:pt>
                <c:pt idx="1">
                  <c:v>Retai</c:v>
                </c:pt>
                <c:pt idx="2">
                  <c:v>Kiekvienais metais</c:v>
                </c:pt>
                <c:pt idx="3">
                  <c:v>Kiekvieną mėnesį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78.569999999999993</c:v>
                </c:pt>
                <c:pt idx="1">
                  <c:v>14.29</c:v>
                </c:pt>
                <c:pt idx="2">
                  <c:v>1.79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B829-97E1-48C3-B806-1EF0BDD0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Zaboriene</dc:creator>
  <cp:keywords/>
  <dc:description/>
  <cp:lastModifiedBy>Kristina Zaboriene</cp:lastModifiedBy>
  <cp:revision>2</cp:revision>
  <cp:lastPrinted>2017-01-06T08:23:00Z</cp:lastPrinted>
  <dcterms:created xsi:type="dcterms:W3CDTF">2020-01-08T08:11:00Z</dcterms:created>
  <dcterms:modified xsi:type="dcterms:W3CDTF">2020-01-08T08:11:00Z</dcterms:modified>
</cp:coreProperties>
</file>